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3D79" w:rsidRDefault="007F3D79">
      <w:pPr>
        <w:pStyle w:val="normal0"/>
        <w:widowControl w:val="0"/>
      </w:pPr>
    </w:p>
    <w:p w:rsidR="007F3D79" w:rsidRDefault="00067417">
      <w:pPr>
        <w:pStyle w:val="normal0"/>
        <w:widowControl w:val="0"/>
        <w:jc w:val="center"/>
      </w:pPr>
      <w:r>
        <w:t>Individual Professional Learning Plan for Teachers</w:t>
      </w:r>
    </w:p>
    <w:p w:rsidR="007F3D79" w:rsidRDefault="00067417">
      <w:pPr>
        <w:pStyle w:val="normal0"/>
        <w:widowControl w:val="0"/>
      </w:pPr>
      <w:r>
        <w:rPr>
          <w:b/>
          <w:i/>
        </w:rPr>
        <w:t>This worksheet is a guide for developing IPLP goals. (</w:t>
      </w:r>
      <w:proofErr w:type="gramStart"/>
      <w:r>
        <w:rPr>
          <w:b/>
          <w:i/>
        </w:rPr>
        <w:t>delete</w:t>
      </w:r>
      <w:proofErr w:type="gramEnd"/>
      <w:r>
        <w:rPr>
          <w:b/>
          <w:i/>
        </w:rPr>
        <w:t xml:space="preserve"> after reading)</w:t>
      </w:r>
    </w:p>
    <w:p w:rsidR="007F3D79" w:rsidRDefault="007F3D79">
      <w:pPr>
        <w:pStyle w:val="normal0"/>
        <w:widowControl w:val="0"/>
      </w:pPr>
    </w:p>
    <w:p w:rsidR="007F3D79" w:rsidRDefault="00067417">
      <w:pPr>
        <w:pStyle w:val="normal0"/>
        <w:widowControl w:val="0"/>
      </w:pPr>
      <w:r>
        <w:t>Name: ____________________________________________________ Date __________</w:t>
      </w:r>
    </w:p>
    <w:p w:rsidR="007F3D79" w:rsidRDefault="00067417">
      <w:pPr>
        <w:pStyle w:val="normal0"/>
        <w:widowControl w:val="0"/>
      </w:pPr>
      <w:r>
        <w:t>Endorsements: _______________________________________________________</w:t>
      </w:r>
    </w:p>
    <w:p w:rsidR="007F3D79" w:rsidRDefault="00067417">
      <w:pPr>
        <w:pStyle w:val="normal0"/>
        <w:widowControl w:val="0"/>
      </w:pPr>
      <w:r>
        <w:t>Resources:</w:t>
      </w:r>
      <w:hyperlink r:id="rId4">
        <w:r>
          <w:t xml:space="preserve"> </w:t>
        </w:r>
        <w:r>
          <w:tab/>
        </w:r>
      </w:hyperlink>
      <w:hyperlink r:id="rId5">
        <w:r>
          <w:rPr>
            <w:i/>
            <w:color w:val="1155CC"/>
            <w:u w:val="single"/>
          </w:rPr>
          <w:t>Core Teaching Standards for Vermont Educators</w:t>
        </w:r>
      </w:hyperlink>
      <w:r>
        <w:t xml:space="preserve"> </w:t>
      </w:r>
    </w:p>
    <w:p w:rsidR="007F3D79" w:rsidRDefault="00067417">
      <w:pPr>
        <w:pStyle w:val="normal0"/>
        <w:widowControl w:val="0"/>
      </w:pPr>
      <w:r>
        <w:tab/>
      </w:r>
      <w:r>
        <w:tab/>
      </w:r>
      <w:hyperlink r:id="rId6">
        <w:r>
          <w:rPr>
            <w:i/>
            <w:color w:val="1155CC"/>
            <w:u w:val="single"/>
          </w:rPr>
          <w:t>Professional Learning Standards for Vermont Educators</w:t>
        </w:r>
      </w:hyperlink>
      <w:r>
        <w:t xml:space="preserve"> </w:t>
      </w:r>
    </w:p>
    <w:p w:rsidR="007F3D79" w:rsidRDefault="00067417">
      <w:pPr>
        <w:pStyle w:val="normal0"/>
        <w:widowControl w:val="0"/>
      </w:pPr>
      <w:r>
        <w:t xml:space="preserve">      </w:t>
      </w:r>
      <w:r>
        <w:t xml:space="preserve">      </w:t>
      </w:r>
      <w:r>
        <w:tab/>
        <w:t xml:space="preserve">Endorsement Knowledge and Performance </w:t>
      </w:r>
      <w:proofErr w:type="gramStart"/>
      <w:r>
        <w:t>Standards :</w:t>
      </w:r>
      <w:proofErr w:type="gramEnd"/>
      <w:r>
        <w:t xml:space="preserve">                                          </w:t>
      </w:r>
    </w:p>
    <w:p w:rsidR="007F3D79" w:rsidRDefault="00067417">
      <w:pPr>
        <w:pStyle w:val="normal0"/>
        <w:widowControl w:val="0"/>
      </w:pPr>
      <w:r>
        <w:t xml:space="preserve">        </w:t>
      </w:r>
      <w:hyperlink r:id="rId7">
        <w:r>
          <w:rPr>
            <w:color w:val="1155CC"/>
            <w:u w:val="single"/>
          </w:rPr>
          <w:t>http://www.state.vt.us/educ/n</w:t>
        </w:r>
        <w:r>
          <w:rPr>
            <w:color w:val="1155CC"/>
            <w:u w:val="single"/>
          </w:rPr>
          <w:t>ew/html/licensing/regulations_endorsements.html#endorments</w:t>
        </w:r>
      </w:hyperlink>
    </w:p>
    <w:p w:rsidR="007F3D79" w:rsidRDefault="007F3D79">
      <w:pPr>
        <w:pStyle w:val="normal0"/>
        <w:widowControl w:val="0"/>
      </w:pPr>
      <w:hyperlink r:id="rId8"/>
    </w:p>
    <w:p w:rsidR="007F3D79" w:rsidRDefault="00067417">
      <w:pPr>
        <w:pStyle w:val="normal0"/>
        <w:widowControl w:val="0"/>
      </w:pPr>
      <w:r>
        <w:rPr>
          <w:b/>
        </w:rPr>
        <w:t xml:space="preserve">GOAL number   1     2     3    </w:t>
      </w:r>
    </w:p>
    <w:p w:rsidR="007F3D79" w:rsidRDefault="00067417">
      <w:pPr>
        <w:pStyle w:val="normal0"/>
        <w:widowControl w:val="0"/>
      </w:pPr>
      <w:r>
        <w:rPr>
          <w:b/>
        </w:rPr>
        <w:t>Step One:</w:t>
      </w:r>
      <w:r>
        <w:t xml:space="preserve"> Self-Assessment. Introduction to G</w:t>
      </w:r>
      <w:r>
        <w:t xml:space="preserve">oal – Describe the results of your self-assessment. A self-assessment is a reflective statement that indicates where you are presently in your career and where you’d like to be in seven years. This is where you make your goals real to you.  </w:t>
      </w:r>
    </w:p>
    <w:p w:rsidR="007F3D79" w:rsidRDefault="007F3D79">
      <w:pPr>
        <w:pStyle w:val="normal0"/>
        <w:widowControl w:val="0"/>
      </w:pPr>
    </w:p>
    <w:p w:rsidR="007F3D79" w:rsidRDefault="00067417">
      <w:pPr>
        <w:pStyle w:val="normal0"/>
        <w:widowControl w:val="0"/>
      </w:pPr>
      <w:r>
        <w:rPr>
          <w:b/>
        </w:rPr>
        <w:t>Step Two: Dev</w:t>
      </w:r>
      <w:r>
        <w:rPr>
          <w:b/>
        </w:rPr>
        <w:t>elop Goal</w:t>
      </w:r>
      <w:r>
        <w:t xml:space="preserve">. </w:t>
      </w:r>
    </w:p>
    <w:p w:rsidR="007F3D79" w:rsidRDefault="00067417">
      <w:pPr>
        <w:pStyle w:val="normal0"/>
        <w:widowControl w:val="0"/>
      </w:pPr>
      <w:r>
        <w:rPr>
          <w:i/>
        </w:rPr>
        <w:t>Specific</w:t>
      </w:r>
      <w:r>
        <w:t>:</w:t>
      </w:r>
      <w:r>
        <w:rPr>
          <w:b/>
        </w:rPr>
        <w:t xml:space="preserve">  </w:t>
      </w:r>
      <w:r>
        <w:t>(The goal identifies the educator’s new learning as it will impact professional practice and student learning.)</w:t>
      </w:r>
    </w:p>
    <w:p w:rsidR="007F3D79" w:rsidRDefault="007F3D79">
      <w:pPr>
        <w:pStyle w:val="normal0"/>
        <w:widowControl w:val="0"/>
      </w:pPr>
    </w:p>
    <w:p w:rsidR="007F3D79" w:rsidRDefault="00067417">
      <w:pPr>
        <w:pStyle w:val="normal0"/>
        <w:widowControl w:val="0"/>
      </w:pPr>
      <w:r>
        <w:rPr>
          <w:i/>
        </w:rPr>
        <w:t>Relevant</w:t>
      </w:r>
      <w:r>
        <w:t>: (The goal is focused on student growth, related to the educator’s endorsement(s), linked to Core Teacher and/o</w:t>
      </w:r>
      <w:r>
        <w:t>r Leadership Standards, and school, district, and/or supervisory union initiatives.)</w:t>
      </w:r>
    </w:p>
    <w:p w:rsidR="007F3D79" w:rsidRDefault="007F3D79">
      <w:pPr>
        <w:pStyle w:val="normal0"/>
        <w:widowControl w:val="0"/>
      </w:pPr>
    </w:p>
    <w:p w:rsidR="007F3D79" w:rsidRDefault="00067417">
      <w:pPr>
        <w:pStyle w:val="normal0"/>
        <w:widowControl w:val="0"/>
      </w:pPr>
      <w:r>
        <w:rPr>
          <w:i/>
        </w:rPr>
        <w:t>Anticipated</w:t>
      </w:r>
      <w:r>
        <w:t xml:space="preserve"> </w:t>
      </w:r>
      <w:r>
        <w:rPr>
          <w:i/>
        </w:rPr>
        <w:t>Impact</w:t>
      </w:r>
      <w:r>
        <w:t>:</w:t>
      </w:r>
      <w:r>
        <w:rPr>
          <w:b/>
        </w:rPr>
        <w:t xml:space="preserve"> </w:t>
      </w:r>
      <w:r>
        <w:t>The goal has a measurable impact on professional practice and student learning.</w:t>
      </w:r>
    </w:p>
    <w:p w:rsidR="007F3D79" w:rsidRDefault="007F3D79">
      <w:pPr>
        <w:pStyle w:val="normal0"/>
        <w:widowControl w:val="0"/>
      </w:pPr>
    </w:p>
    <w:p w:rsidR="007F3D79" w:rsidRDefault="007F3D79">
      <w:pPr>
        <w:pStyle w:val="normal0"/>
        <w:widowControl w:val="0"/>
      </w:pPr>
    </w:p>
    <w:p w:rsidR="007F3D79" w:rsidRDefault="007F3D79">
      <w:pPr>
        <w:pStyle w:val="normal0"/>
        <w:widowControl w:val="0"/>
      </w:pPr>
    </w:p>
    <w:p w:rsidR="007F3D79" w:rsidRDefault="00067417">
      <w:pPr>
        <w:pStyle w:val="normal0"/>
        <w:widowControl w:val="0"/>
      </w:pPr>
      <w:r>
        <w:t>The following chart serves as a reminder that professional learning</w:t>
      </w:r>
      <w:r>
        <w:t xml:space="preserve"> activities relating to your goal must have connections with the Core Teaching Standards for Vermont Educators.  Please check which category(s) and standard(s) this particular goal will meet.</w:t>
      </w:r>
    </w:p>
    <w:p w:rsidR="007F3D79" w:rsidRDefault="007F3D79">
      <w:pPr>
        <w:pStyle w:val="normal0"/>
        <w:widowControl w:val="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7F3D79">
        <w:tblPrEx>
          <w:tblCellMar>
            <w:top w:w="0" w:type="dxa"/>
            <w:bottom w:w="0" w:type="dxa"/>
          </w:tblCellMar>
        </w:tblPrEx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79" w:rsidRDefault="00067417">
            <w:pPr>
              <w:pStyle w:val="normal0"/>
              <w:widowControl w:val="0"/>
              <w:jc w:val="center"/>
            </w:pPr>
            <w:r>
              <w:rPr>
                <w:b/>
              </w:rPr>
              <w:t xml:space="preserve">The Learner and </w:t>
            </w:r>
          </w:p>
          <w:p w:rsidR="007F3D79" w:rsidRDefault="00067417">
            <w:pPr>
              <w:pStyle w:val="normal0"/>
              <w:widowControl w:val="0"/>
              <w:jc w:val="center"/>
            </w:pPr>
            <w:r>
              <w:rPr>
                <w:b/>
              </w:rPr>
              <w:t>Learning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79" w:rsidRDefault="00067417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Content Knowledge and Skills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79" w:rsidRDefault="00067417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Instructional Practice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79" w:rsidRDefault="00067417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Professional Responsibility</w:t>
            </w:r>
          </w:p>
        </w:tc>
      </w:tr>
      <w:tr w:rsidR="007F3D79">
        <w:tblPrEx>
          <w:tblCellMar>
            <w:top w:w="0" w:type="dxa"/>
            <w:bottom w:w="0" w:type="dxa"/>
          </w:tblCellMar>
        </w:tblPrEx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79" w:rsidRDefault="00067417">
            <w:pPr>
              <w:pStyle w:val="normal0"/>
              <w:widowControl w:val="0"/>
              <w:jc w:val="center"/>
            </w:pPr>
            <w:r>
              <w:t>Standards 1, 2, or 3 (Identify)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79" w:rsidRDefault="00067417">
            <w:pPr>
              <w:pStyle w:val="normal0"/>
              <w:widowControl w:val="0"/>
              <w:jc w:val="center"/>
            </w:pPr>
            <w:r>
              <w:t>Standards 4 or 5</w:t>
            </w:r>
          </w:p>
          <w:p w:rsidR="007F3D79" w:rsidRDefault="00067417">
            <w:pPr>
              <w:pStyle w:val="normal0"/>
              <w:widowControl w:val="0"/>
              <w:jc w:val="center"/>
            </w:pPr>
            <w:r>
              <w:t>(Identify)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79" w:rsidRDefault="00067417">
            <w:pPr>
              <w:pStyle w:val="normal0"/>
              <w:widowControl w:val="0"/>
              <w:jc w:val="center"/>
            </w:pPr>
            <w:r>
              <w:t>Standards 6, 7, or 8</w:t>
            </w:r>
          </w:p>
          <w:p w:rsidR="007F3D79" w:rsidRDefault="00067417">
            <w:pPr>
              <w:pStyle w:val="normal0"/>
              <w:widowControl w:val="0"/>
              <w:jc w:val="center"/>
            </w:pPr>
            <w:r>
              <w:t>(Identify)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79" w:rsidRDefault="00067417">
            <w:pPr>
              <w:pStyle w:val="normal0"/>
              <w:widowControl w:val="0"/>
              <w:jc w:val="center"/>
            </w:pPr>
            <w:r>
              <w:t>Standards 9 or 10</w:t>
            </w:r>
          </w:p>
          <w:p w:rsidR="007F3D79" w:rsidRDefault="00067417">
            <w:pPr>
              <w:pStyle w:val="normal0"/>
              <w:widowControl w:val="0"/>
              <w:jc w:val="center"/>
            </w:pPr>
            <w:r>
              <w:t>(Identify)</w:t>
            </w:r>
          </w:p>
        </w:tc>
      </w:tr>
      <w:tr w:rsidR="007F3D79">
        <w:tblPrEx>
          <w:tblCellMar>
            <w:top w:w="0" w:type="dxa"/>
            <w:bottom w:w="0" w:type="dxa"/>
          </w:tblCellMar>
        </w:tblPrEx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79" w:rsidRDefault="007F3D79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79" w:rsidRDefault="007F3D79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79" w:rsidRDefault="007F3D79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79" w:rsidRDefault="007F3D79">
            <w:pPr>
              <w:pStyle w:val="normal0"/>
              <w:widowControl w:val="0"/>
              <w:spacing w:line="240" w:lineRule="auto"/>
              <w:jc w:val="center"/>
            </w:pPr>
          </w:p>
        </w:tc>
      </w:tr>
    </w:tbl>
    <w:p w:rsidR="007F3D79" w:rsidRDefault="007F3D79">
      <w:pPr>
        <w:pStyle w:val="normal0"/>
        <w:widowControl w:val="0"/>
      </w:pP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/>
      </w:tblPr>
      <w:tblGrid>
        <w:gridCol w:w="206"/>
        <w:gridCol w:w="206"/>
        <w:gridCol w:w="206"/>
        <w:gridCol w:w="206"/>
      </w:tblGrid>
      <w:tr w:rsidR="007F3D79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79" w:rsidRDefault="007F3D79">
            <w:pPr>
              <w:pStyle w:val="normal0"/>
              <w:widowControl w:val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79" w:rsidRDefault="007F3D79">
            <w:pPr>
              <w:pStyle w:val="normal0"/>
              <w:widowControl w:val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79" w:rsidRDefault="007F3D79">
            <w:pPr>
              <w:pStyle w:val="normal0"/>
              <w:widowControl w:val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79" w:rsidRDefault="007F3D79">
            <w:pPr>
              <w:pStyle w:val="normal0"/>
              <w:widowControl w:val="0"/>
            </w:pPr>
          </w:p>
        </w:tc>
      </w:tr>
      <w:tr w:rsidR="007F3D79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79" w:rsidRDefault="007F3D79">
            <w:pPr>
              <w:pStyle w:val="normal0"/>
              <w:widowControl w:val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79" w:rsidRDefault="007F3D79">
            <w:pPr>
              <w:pStyle w:val="normal0"/>
              <w:widowControl w:val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79" w:rsidRDefault="007F3D79">
            <w:pPr>
              <w:pStyle w:val="normal0"/>
              <w:widowControl w:val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79" w:rsidRDefault="007F3D79">
            <w:pPr>
              <w:pStyle w:val="normal0"/>
              <w:widowControl w:val="0"/>
            </w:pPr>
          </w:p>
        </w:tc>
      </w:tr>
      <w:tr w:rsidR="007F3D79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79" w:rsidRDefault="007F3D79">
            <w:pPr>
              <w:pStyle w:val="normal0"/>
              <w:widowControl w:val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79" w:rsidRDefault="007F3D79">
            <w:pPr>
              <w:pStyle w:val="normal0"/>
              <w:widowControl w:val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79" w:rsidRDefault="007F3D79">
            <w:pPr>
              <w:pStyle w:val="normal0"/>
              <w:widowControl w:val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79" w:rsidRDefault="007F3D79">
            <w:pPr>
              <w:pStyle w:val="normal0"/>
              <w:widowControl w:val="0"/>
            </w:pPr>
          </w:p>
        </w:tc>
      </w:tr>
    </w:tbl>
    <w:p w:rsidR="007F3D79" w:rsidRDefault="00067417">
      <w:pPr>
        <w:pStyle w:val="normal0"/>
        <w:widowControl w:val="0"/>
      </w:pPr>
      <w:r>
        <w:t>Endorsement Competency(s):</w:t>
      </w:r>
      <w:r>
        <w:rPr>
          <w:b/>
        </w:rPr>
        <w:t xml:space="preserve"> </w:t>
      </w:r>
      <w:r>
        <w:t xml:space="preserve">One IPLP goal must be linked to the knowledge and performance standards of your endorsement:  </w:t>
      </w:r>
      <w:hyperlink r:id="rId9">
        <w:r>
          <w:rPr>
            <w:color w:val="1155CC"/>
            <w:u w:val="single"/>
          </w:rPr>
          <w:t>http://www.state.vt.us/educ/new/html/licen</w:t>
        </w:r>
        <w:r>
          <w:rPr>
            <w:color w:val="1155CC"/>
            <w:u w:val="single"/>
          </w:rPr>
          <w:t>sing/regulations_endorsements.html#endorments</w:t>
        </w:r>
      </w:hyperlink>
    </w:p>
    <w:p w:rsidR="007F3D79" w:rsidRDefault="00067417">
      <w:pPr>
        <w:pStyle w:val="normal0"/>
        <w:widowControl w:val="0"/>
      </w:pPr>
      <w:r>
        <w:t xml:space="preserve">  Please identify which knowledge or performance endorsement competency(s) if any, will be met by this goal.</w:t>
      </w:r>
      <w:r>
        <w:rPr>
          <w:b/>
        </w:rPr>
        <w:t xml:space="preserve"> </w:t>
      </w:r>
      <w:r>
        <w:t xml:space="preserve">(This is not required for all 3 goals. You only need to do this once </w:t>
      </w:r>
      <w:r>
        <w:rPr>
          <w:i/>
        </w:rPr>
        <w:t>per endorsement</w:t>
      </w:r>
      <w:r>
        <w:t>.)</w:t>
      </w:r>
    </w:p>
    <w:p w:rsidR="007F3D79" w:rsidRDefault="007F3D79">
      <w:pPr>
        <w:pStyle w:val="normal0"/>
        <w:widowControl w:val="0"/>
      </w:pPr>
    </w:p>
    <w:p w:rsidR="007F3D79" w:rsidRDefault="00067417">
      <w:pPr>
        <w:pStyle w:val="normal0"/>
        <w:widowControl w:val="0"/>
      </w:pPr>
      <w:r>
        <w:rPr>
          <w:b/>
        </w:rPr>
        <w:t xml:space="preserve">Competency: </w:t>
      </w:r>
    </w:p>
    <w:p w:rsidR="007F3D79" w:rsidRDefault="00067417">
      <w:pPr>
        <w:pStyle w:val="normal0"/>
        <w:widowControl w:val="0"/>
      </w:pPr>
      <w:r>
        <w:rPr>
          <w:b/>
        </w:rPr>
        <w:t>____________________________________________________________________________</w:t>
      </w:r>
    </w:p>
    <w:p w:rsidR="007F3D79" w:rsidRDefault="00067417">
      <w:pPr>
        <w:pStyle w:val="normal0"/>
        <w:widowControl w:val="0"/>
      </w:pPr>
      <w:r>
        <w:rPr>
          <w:b/>
        </w:rPr>
        <w:t>____________________________________________________________________________</w:t>
      </w:r>
    </w:p>
    <w:p w:rsidR="007F3D79" w:rsidRDefault="00067417">
      <w:pPr>
        <w:pStyle w:val="normal0"/>
        <w:widowControl w:val="0"/>
      </w:pPr>
      <w:r>
        <w:rPr>
          <w:b/>
        </w:rPr>
        <w:t xml:space="preserve">Competency: </w:t>
      </w:r>
    </w:p>
    <w:p w:rsidR="007F3D79" w:rsidRDefault="00067417">
      <w:pPr>
        <w:pStyle w:val="normal0"/>
        <w:widowControl w:val="0"/>
      </w:pPr>
      <w:r>
        <w:rPr>
          <w:b/>
        </w:rPr>
        <w:t>____________________________________________________________________________</w:t>
      </w:r>
    </w:p>
    <w:p w:rsidR="007F3D79" w:rsidRDefault="00067417">
      <w:pPr>
        <w:pStyle w:val="normal0"/>
        <w:widowControl w:val="0"/>
      </w:pPr>
      <w:r>
        <w:rPr>
          <w:b/>
        </w:rPr>
        <w:t>____________________________________________________________________________</w:t>
      </w:r>
    </w:p>
    <w:p w:rsidR="007F3D79" w:rsidRDefault="007F3D79">
      <w:pPr>
        <w:pStyle w:val="normal0"/>
        <w:widowControl w:val="0"/>
      </w:pPr>
    </w:p>
    <w:p w:rsidR="007F3D79" w:rsidRDefault="00067417">
      <w:pPr>
        <w:pStyle w:val="normal0"/>
        <w:widowControl w:val="0"/>
      </w:pPr>
      <w:r>
        <w:rPr>
          <w:b/>
        </w:rPr>
        <w:t>Step Three:</w:t>
      </w:r>
      <w:r>
        <w:t xml:space="preserve"> Plan and describe the professional learning you plan to use to meet your goals.</w:t>
      </w:r>
      <w:r>
        <w:rPr>
          <w:b/>
        </w:rPr>
        <w:t xml:space="preserve"> </w:t>
      </w:r>
      <w:r>
        <w:t>Please refer to the</w:t>
      </w:r>
      <w:hyperlink r:id="rId10">
        <w:r>
          <w:t xml:space="preserve"> </w:t>
        </w:r>
      </w:hyperlink>
      <w:hyperlink r:id="rId11">
        <w:r>
          <w:rPr>
            <w:color w:val="1155CC"/>
            <w:u w:val="single"/>
          </w:rPr>
          <w:t xml:space="preserve">14 </w:t>
        </w:r>
      </w:hyperlink>
      <w:hyperlink r:id="rId12">
        <w:r>
          <w:rPr>
            <w:i/>
            <w:color w:val="1155CC"/>
            <w:u w:val="single"/>
          </w:rPr>
          <w:t>Activities that Qualify for Professional Learning Credit</w:t>
        </w:r>
      </w:hyperlink>
      <w:r>
        <w:rPr>
          <w:i/>
        </w:rPr>
        <w:t xml:space="preserve"> </w:t>
      </w:r>
      <w:r>
        <w:t>to</w:t>
      </w:r>
      <w:r>
        <w:rPr>
          <w:i/>
        </w:rPr>
        <w:t xml:space="preserve"> </w:t>
      </w:r>
      <w:r>
        <w:t xml:space="preserve">plan approved activities for your new learning. </w:t>
      </w:r>
      <w:proofErr w:type="gramStart"/>
      <w:r>
        <w:t>For a link to this document click on title.</w:t>
      </w:r>
      <w:proofErr w:type="gramEnd"/>
    </w:p>
    <w:p w:rsidR="007F3D79" w:rsidRDefault="007F3D79">
      <w:pPr>
        <w:pStyle w:val="normal0"/>
        <w:widowControl w:val="0"/>
      </w:pPr>
    </w:p>
    <w:p w:rsidR="007F3D79" w:rsidRDefault="007F3D79">
      <w:pPr>
        <w:pStyle w:val="normal0"/>
        <w:widowControl w:val="0"/>
      </w:pPr>
    </w:p>
    <w:p w:rsidR="007F3D79" w:rsidRDefault="007F3D79">
      <w:pPr>
        <w:pStyle w:val="normal0"/>
        <w:widowControl w:val="0"/>
      </w:pPr>
    </w:p>
    <w:p w:rsidR="007F3D79" w:rsidRDefault="00067417">
      <w:pPr>
        <w:pStyle w:val="normal0"/>
        <w:widowControl w:val="0"/>
      </w:pPr>
      <w:r>
        <w:rPr>
          <w:b/>
        </w:rPr>
        <w:t xml:space="preserve">Step Four (Reflection after seven years): </w:t>
      </w:r>
      <w:r>
        <w:t xml:space="preserve">After implementing your IPLP, reflect on each </w:t>
      </w:r>
      <w:r>
        <w:t>of your goals during the seven year process. This narrative should reflect the impact your professional learning has had on your professional practice and student learning.</w:t>
      </w:r>
    </w:p>
    <w:p w:rsidR="007F3D79" w:rsidRDefault="00067417">
      <w:pPr>
        <w:pStyle w:val="normal0"/>
        <w:widowControl w:val="0"/>
      </w:pPr>
      <w:r>
        <w:rPr>
          <w:b/>
        </w:rPr>
        <w:t xml:space="preserve">Goal 1 Reflection: </w:t>
      </w:r>
    </w:p>
    <w:p w:rsidR="007F3D79" w:rsidRDefault="00067417">
      <w:pPr>
        <w:pStyle w:val="normal0"/>
        <w:widowControl w:val="0"/>
      </w:pPr>
      <w:r>
        <w:rPr>
          <w:b/>
        </w:rPr>
        <w:t>Goal 2 Reflection:</w:t>
      </w:r>
    </w:p>
    <w:p w:rsidR="007F3D79" w:rsidRDefault="00067417">
      <w:pPr>
        <w:pStyle w:val="normal0"/>
        <w:widowControl w:val="0"/>
      </w:pPr>
      <w:r>
        <w:rPr>
          <w:b/>
        </w:rPr>
        <w:t>Goal 3 Reflection:</w:t>
      </w:r>
    </w:p>
    <w:p w:rsidR="007F3D79" w:rsidRDefault="007F3D79">
      <w:pPr>
        <w:pStyle w:val="normal0"/>
        <w:widowControl w:val="0"/>
      </w:pPr>
    </w:p>
    <w:sectPr w:rsidR="007F3D79" w:rsidSect="007F3D7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7F3D79"/>
    <w:rsid w:val="00067417"/>
    <w:rsid w:val="007F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F3D79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7F3D7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7F3D7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7F3D7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7F3D7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7F3D7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F3D79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7F3D79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7F3D7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.vt.us/educ/new/html/licensing/regulations_endorsements.html%22%20%5Cl%20%22endorment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ate.vt.us/educ/new/html/licensing/regulations_endorsements.html%22%20%5Cl%20%22endorments" TargetMode="External"/><Relationship Id="rId12" Type="http://schemas.openxmlformats.org/officeDocument/2006/relationships/hyperlink" Target="http://education.vermont.gov/documents/EDU-Professional_Development_Qualified_Activitie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cation.vermont.gov/documents/EDU_Professional_Learning_Standards.pdf" TargetMode="External"/><Relationship Id="rId11" Type="http://schemas.openxmlformats.org/officeDocument/2006/relationships/hyperlink" Target="http://education.vermont.gov/documents/EDU-Professional_Development_Qualified_Activities.pdf" TargetMode="External"/><Relationship Id="rId5" Type="http://schemas.openxmlformats.org/officeDocument/2006/relationships/hyperlink" Target="http://education.vermont.gov/documents/EDU-Licensing_Draft_Standards_for_Vermont_Educators.pdf" TargetMode="External"/><Relationship Id="rId10" Type="http://schemas.openxmlformats.org/officeDocument/2006/relationships/hyperlink" Target="http://education.vermont.gov/documents/EDU-Professional_Development_Qualified_Activities.pdf" TargetMode="External"/><Relationship Id="rId4" Type="http://schemas.openxmlformats.org/officeDocument/2006/relationships/hyperlink" Target="http://education.vermont.gov/documents/EDU-Licensing_Draft_Standards_for_Vermont_Educators.pdf" TargetMode="External"/><Relationship Id="rId9" Type="http://schemas.openxmlformats.org/officeDocument/2006/relationships/hyperlink" Target="http://www.state.vt.us/educ/new/html/licensing/regulations_endorsements.html%22%20%5Cl%20%22endorm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Company>Washington West Supervisory Union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IPLP worksheet.docx</dc:title>
  <dc:creator>Angela Young</dc:creator>
  <cp:lastModifiedBy>Angela Young</cp:lastModifiedBy>
  <cp:revision>2</cp:revision>
  <dcterms:created xsi:type="dcterms:W3CDTF">2014-01-24T18:30:00Z</dcterms:created>
  <dcterms:modified xsi:type="dcterms:W3CDTF">2014-01-24T18:30:00Z</dcterms:modified>
</cp:coreProperties>
</file>